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2AA3" w14:textId="2E4083DC" w:rsidR="003356AF" w:rsidRPr="00797746" w:rsidRDefault="0098606C" w:rsidP="00CF3ECC">
      <w:pPr>
        <w:rPr>
          <w:b/>
          <w:bCs/>
          <w:sz w:val="32"/>
          <w:szCs w:val="32"/>
          <w:u w:val="single"/>
        </w:rPr>
      </w:pPr>
      <w:r w:rsidRPr="00D04B4B">
        <w:rPr>
          <w:b/>
          <w:bCs/>
          <w:sz w:val="36"/>
          <w:szCs w:val="36"/>
          <w:u w:val="single"/>
        </w:rPr>
        <w:t>The Assessors Office</w:t>
      </w:r>
    </w:p>
    <w:p w14:paraId="1B932F8A" w14:textId="716701B1" w:rsidR="00D04B4B" w:rsidRPr="00797746" w:rsidRDefault="00D04B4B" w:rsidP="00D04B4B">
      <w:pPr>
        <w:rPr>
          <w:rFonts w:ascii="Cambria" w:hAnsi="Cambria"/>
          <w:sz w:val="32"/>
          <w:szCs w:val="32"/>
        </w:rPr>
      </w:pPr>
      <w:r w:rsidRPr="00797746">
        <w:rPr>
          <w:rFonts w:ascii="Cambria" w:hAnsi="Cambria"/>
          <w:sz w:val="32"/>
          <w:szCs w:val="32"/>
        </w:rPr>
        <w:t xml:space="preserve">The Assessors Office consists of a board of three elected officials serving staggered three-year terms, an appointed Administrative Assistant with the support of various contracted appraisal and tax map consultants.  Assessors’ meetings are held in person at the Town Hall on roughly a monthly basis (as posted).  For further information please visit or contact the Assessors Office at 413-339-5520 x-104 or </w:t>
      </w:r>
      <w:hyperlink r:id="rId6" w:history="1">
        <w:r w:rsidRPr="00797746">
          <w:rPr>
            <w:rStyle w:val="Hyperlink"/>
            <w:rFonts w:ascii="Cambria" w:hAnsi="Cambria"/>
            <w:sz w:val="32"/>
            <w:szCs w:val="32"/>
          </w:rPr>
          <w:t>assessor@rowe-ma.gov</w:t>
        </w:r>
      </w:hyperlink>
      <w:r w:rsidRPr="00797746">
        <w:rPr>
          <w:rFonts w:ascii="Cambria" w:hAnsi="Cambria"/>
          <w:sz w:val="32"/>
          <w:szCs w:val="32"/>
        </w:rPr>
        <w:t>.  There is also an Assessors page on the Town website (rowe-ma.gov).</w:t>
      </w:r>
    </w:p>
    <w:p w14:paraId="3853E673" w14:textId="77777777" w:rsidR="00797746" w:rsidRDefault="00D04B4B" w:rsidP="00D04B4B">
      <w:pPr>
        <w:rPr>
          <w:rFonts w:ascii="Cambria" w:hAnsi="Cambria"/>
          <w:sz w:val="32"/>
          <w:szCs w:val="32"/>
        </w:rPr>
      </w:pPr>
      <w:r w:rsidRPr="00797746">
        <w:rPr>
          <w:rFonts w:ascii="Cambria" w:hAnsi="Cambria"/>
          <w:sz w:val="32"/>
          <w:szCs w:val="32"/>
        </w:rPr>
        <w:t xml:space="preserve">The Assessors are primarily responsible for listing, classifying and valuing all real and personal property with the community at 100% of its full </w:t>
      </w:r>
    </w:p>
    <w:p w14:paraId="2FC6E29E" w14:textId="77777777" w:rsidR="00797746" w:rsidRDefault="00797746" w:rsidP="00D04B4B">
      <w:pPr>
        <w:rPr>
          <w:rFonts w:ascii="Cambria" w:hAnsi="Cambria"/>
          <w:sz w:val="32"/>
          <w:szCs w:val="32"/>
        </w:rPr>
      </w:pPr>
    </w:p>
    <w:p w14:paraId="55FF7A04" w14:textId="77777777" w:rsidR="00797746" w:rsidRDefault="00797746" w:rsidP="00D04B4B">
      <w:pPr>
        <w:rPr>
          <w:rFonts w:ascii="Cambria" w:hAnsi="Cambria"/>
          <w:sz w:val="32"/>
          <w:szCs w:val="32"/>
        </w:rPr>
      </w:pPr>
    </w:p>
    <w:p w14:paraId="19CEFC3A" w14:textId="77777777" w:rsidR="00797746" w:rsidRDefault="00797746" w:rsidP="00D04B4B">
      <w:pPr>
        <w:rPr>
          <w:rFonts w:ascii="Cambria" w:hAnsi="Cambria"/>
          <w:sz w:val="32"/>
          <w:szCs w:val="32"/>
        </w:rPr>
      </w:pPr>
    </w:p>
    <w:p w14:paraId="789379A0" w14:textId="5583BF6A" w:rsidR="00D04B4B" w:rsidRPr="00797746" w:rsidRDefault="00D04B4B" w:rsidP="00D04B4B">
      <w:pPr>
        <w:rPr>
          <w:rFonts w:ascii="Cambria" w:hAnsi="Cambria"/>
          <w:sz w:val="32"/>
          <w:szCs w:val="32"/>
        </w:rPr>
      </w:pPr>
      <w:r w:rsidRPr="00797746">
        <w:rPr>
          <w:rFonts w:ascii="Cambria" w:hAnsi="Cambria"/>
          <w:sz w:val="32"/>
          <w:szCs w:val="32"/>
        </w:rPr>
        <w:t xml:space="preserve">and fair cash value (fair market value) and to ensure that property taxes are fairly </w:t>
      </w:r>
      <w:r w:rsidRPr="00797746">
        <w:rPr>
          <w:rFonts w:ascii="Cambria" w:hAnsi="Cambria"/>
          <w:sz w:val="32"/>
          <w:szCs w:val="32"/>
        </w:rPr>
        <w:t xml:space="preserve">apportioned </w:t>
      </w:r>
      <w:r w:rsidRPr="00797746">
        <w:rPr>
          <w:rFonts w:ascii="Cambria" w:hAnsi="Cambria"/>
          <w:i/>
          <w:iCs/>
          <w:sz w:val="32"/>
          <w:szCs w:val="32"/>
        </w:rPr>
        <w:t>ad velorem</w:t>
      </w:r>
      <w:r w:rsidRPr="00797746">
        <w:rPr>
          <w:rFonts w:ascii="Cambria" w:hAnsi="Cambria"/>
          <w:sz w:val="32"/>
          <w:szCs w:val="32"/>
        </w:rPr>
        <w:t>; according to value.  In support of this, the Assessors perform the following:</w:t>
      </w:r>
    </w:p>
    <w:p w14:paraId="4CADEDAE" w14:textId="5AD7722A" w:rsidR="00D04B4B" w:rsidRPr="00797746" w:rsidRDefault="00D04B4B" w:rsidP="00797746">
      <w:pPr>
        <w:pStyle w:val="ListParagraph"/>
        <w:numPr>
          <w:ilvl w:val="0"/>
          <w:numId w:val="3"/>
        </w:numPr>
        <w:spacing w:line="278" w:lineRule="auto"/>
        <w:ind w:left="540"/>
        <w:rPr>
          <w:rFonts w:ascii="Cambria" w:hAnsi="Cambria"/>
          <w:sz w:val="28"/>
          <w:szCs w:val="28"/>
        </w:rPr>
      </w:pPr>
      <w:r w:rsidRPr="00797746">
        <w:rPr>
          <w:rFonts w:ascii="Cambria" w:hAnsi="Cambria"/>
          <w:sz w:val="28"/>
          <w:szCs w:val="28"/>
        </w:rPr>
        <w:t>maintain and update a computerized property database with information based on:</w:t>
      </w:r>
    </w:p>
    <w:p w14:paraId="4783FE1C" w14:textId="42984E1D" w:rsidR="00D04B4B" w:rsidRPr="00797746" w:rsidRDefault="00D04B4B" w:rsidP="00797746">
      <w:pPr>
        <w:pStyle w:val="ListParagraph"/>
        <w:numPr>
          <w:ilvl w:val="0"/>
          <w:numId w:val="3"/>
        </w:numPr>
        <w:spacing w:line="278" w:lineRule="auto"/>
        <w:ind w:left="540"/>
        <w:rPr>
          <w:rFonts w:ascii="Cambria" w:hAnsi="Cambria"/>
          <w:sz w:val="28"/>
          <w:szCs w:val="28"/>
        </w:rPr>
      </w:pPr>
      <w:r w:rsidRPr="00797746">
        <w:rPr>
          <w:rFonts w:ascii="Cambria" w:hAnsi="Cambria"/>
          <w:sz w:val="28"/>
          <w:szCs w:val="28"/>
          <w:u w:val="single"/>
        </w:rPr>
        <w:t>deeds</w:t>
      </w:r>
      <w:r w:rsidRPr="00797746">
        <w:rPr>
          <w:rFonts w:ascii="Cambria" w:hAnsi="Cambria"/>
          <w:sz w:val="28"/>
          <w:szCs w:val="28"/>
        </w:rPr>
        <w:t xml:space="preserve"> from the MA Registry of Deeds</w:t>
      </w:r>
    </w:p>
    <w:p w14:paraId="2DB8401B" w14:textId="4E3B1082" w:rsidR="00D04B4B" w:rsidRPr="00797746" w:rsidRDefault="00D04B4B" w:rsidP="00797746">
      <w:pPr>
        <w:pStyle w:val="ListParagraph"/>
        <w:numPr>
          <w:ilvl w:val="0"/>
          <w:numId w:val="3"/>
        </w:numPr>
        <w:spacing w:line="278" w:lineRule="auto"/>
        <w:ind w:left="540"/>
        <w:rPr>
          <w:rFonts w:ascii="Cambria" w:hAnsi="Cambria"/>
          <w:sz w:val="28"/>
          <w:szCs w:val="28"/>
        </w:rPr>
      </w:pPr>
      <w:r w:rsidRPr="00797746">
        <w:rPr>
          <w:rFonts w:ascii="Cambria" w:hAnsi="Cambria"/>
          <w:sz w:val="28"/>
          <w:szCs w:val="28"/>
          <w:u w:val="single"/>
        </w:rPr>
        <w:t>building permits</w:t>
      </w:r>
      <w:r w:rsidRPr="00797746">
        <w:rPr>
          <w:rFonts w:ascii="Cambria" w:hAnsi="Cambria"/>
          <w:sz w:val="28"/>
          <w:szCs w:val="28"/>
        </w:rPr>
        <w:t xml:space="preserve"> from the Franklin County Cooperative Inspection Program</w:t>
      </w:r>
    </w:p>
    <w:p w14:paraId="10800DAC" w14:textId="35ADB515" w:rsidR="00D04B4B" w:rsidRPr="00797746" w:rsidRDefault="00D04B4B" w:rsidP="00797746">
      <w:pPr>
        <w:pStyle w:val="ListParagraph"/>
        <w:numPr>
          <w:ilvl w:val="0"/>
          <w:numId w:val="3"/>
        </w:numPr>
        <w:spacing w:line="278" w:lineRule="auto"/>
        <w:ind w:left="540"/>
        <w:rPr>
          <w:rFonts w:ascii="Cambria" w:hAnsi="Cambria"/>
          <w:sz w:val="28"/>
          <w:szCs w:val="28"/>
        </w:rPr>
      </w:pPr>
      <w:r w:rsidRPr="00797746">
        <w:rPr>
          <w:rFonts w:ascii="Cambria" w:hAnsi="Cambria"/>
          <w:sz w:val="28"/>
          <w:szCs w:val="28"/>
        </w:rPr>
        <w:t>local field inspections (</w:t>
      </w:r>
      <w:r w:rsidRPr="00797746">
        <w:rPr>
          <w:rFonts w:ascii="Cambria" w:hAnsi="Cambria"/>
          <w:sz w:val="28"/>
          <w:szCs w:val="28"/>
          <w:u w:val="single"/>
        </w:rPr>
        <w:t>annual permit inspections)</w:t>
      </w:r>
    </w:p>
    <w:p w14:paraId="1B994C5D" w14:textId="60280764" w:rsidR="00D04B4B" w:rsidRPr="00797746" w:rsidRDefault="00CE1BBA" w:rsidP="00797746">
      <w:pPr>
        <w:pStyle w:val="ListParagraph"/>
        <w:numPr>
          <w:ilvl w:val="0"/>
          <w:numId w:val="3"/>
        </w:numPr>
        <w:spacing w:line="278" w:lineRule="auto"/>
        <w:ind w:left="540"/>
        <w:rPr>
          <w:rFonts w:ascii="Cambria" w:hAnsi="Cambria"/>
          <w:sz w:val="28"/>
          <w:szCs w:val="28"/>
        </w:rPr>
      </w:pPr>
      <w:r w:rsidRPr="00D04B4B">
        <w:rPr>
          <w:rFonts w:ascii="Cambria" w:hAnsi="Cambria" w:cs="Times New Roman"/>
          <w:b/>
          <w:bCs/>
          <w:sz w:val="24"/>
          <w:szCs w:val="24"/>
        </w:rPr>
        <w:drawing>
          <wp:anchor distT="0" distB="0" distL="114300" distR="114300" simplePos="0" relativeHeight="251665408" behindDoc="1" locked="0" layoutInCell="1" allowOverlap="1" wp14:anchorId="6B1A0D16" wp14:editId="620844F7">
            <wp:simplePos x="0" y="0"/>
            <wp:positionH relativeFrom="column">
              <wp:posOffset>3815080</wp:posOffset>
            </wp:positionH>
            <wp:positionV relativeFrom="paragraph">
              <wp:posOffset>183516</wp:posOffset>
            </wp:positionV>
            <wp:extent cx="1704340" cy="1135380"/>
            <wp:effectExtent l="95250" t="152400" r="86360" b="140970"/>
            <wp:wrapThrough wrapText="bothSides">
              <wp:wrapPolygon edited="0">
                <wp:start x="-474" y="-117"/>
                <wp:lineTo x="-552" y="17938"/>
                <wp:lineTo x="-426" y="19009"/>
                <wp:lineTo x="7966" y="21564"/>
                <wp:lineTo x="20232" y="21617"/>
                <wp:lineTo x="20470" y="21554"/>
                <wp:lineTo x="21896" y="21175"/>
                <wp:lineTo x="21755" y="17900"/>
                <wp:lineTo x="21835" y="6101"/>
                <wp:lineTo x="21442" y="685"/>
                <wp:lineTo x="21021" y="-2884"/>
                <wp:lineTo x="11692" y="-2981"/>
                <wp:lineTo x="1190" y="-559"/>
                <wp:lineTo x="-474" y="-117"/>
              </wp:wrapPolygon>
            </wp:wrapThrough>
            <wp:docPr id="963435193" name="Picture 1" descr="What to Expect During a Home Appraisal | Home Appraisal Contin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o Expect During a Home Appraisal | Home Appraisal Contingen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02258">
                      <a:off x="0" y="0"/>
                      <a:ext cx="170434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B4B" w:rsidRPr="00797746">
        <w:rPr>
          <w:rFonts w:ascii="Cambria" w:hAnsi="Cambria"/>
          <w:sz w:val="28"/>
          <w:szCs w:val="28"/>
        </w:rPr>
        <w:t>local real estate market conditions (</w:t>
      </w:r>
      <w:r w:rsidR="00D04B4B" w:rsidRPr="00797746">
        <w:rPr>
          <w:rFonts w:ascii="Cambria" w:hAnsi="Cambria"/>
          <w:sz w:val="28"/>
          <w:szCs w:val="28"/>
          <w:u w:val="single"/>
        </w:rPr>
        <w:t>annual sales analysis</w:t>
      </w:r>
      <w:r w:rsidR="00D04B4B" w:rsidRPr="00797746">
        <w:rPr>
          <w:rFonts w:ascii="Cambria" w:hAnsi="Cambria"/>
          <w:sz w:val="28"/>
          <w:szCs w:val="28"/>
        </w:rPr>
        <w:t>)</w:t>
      </w:r>
    </w:p>
    <w:p w14:paraId="63134D32" w14:textId="18B96F86" w:rsidR="00D04B4B" w:rsidRPr="00797746" w:rsidRDefault="00D04B4B" w:rsidP="00797746">
      <w:pPr>
        <w:pStyle w:val="ListParagraph"/>
        <w:numPr>
          <w:ilvl w:val="0"/>
          <w:numId w:val="3"/>
        </w:numPr>
        <w:spacing w:line="240" w:lineRule="auto"/>
        <w:ind w:left="540"/>
        <w:rPr>
          <w:rFonts w:ascii="Cambria" w:hAnsi="Cambria"/>
          <w:sz w:val="28"/>
          <w:szCs w:val="28"/>
        </w:rPr>
      </w:pPr>
      <w:r w:rsidRPr="00797746">
        <w:rPr>
          <w:rFonts w:ascii="Cambria" w:hAnsi="Cambria"/>
          <w:sz w:val="28"/>
          <w:szCs w:val="28"/>
        </w:rPr>
        <w:t xml:space="preserve">maintain and update the Town tax maps based on </w:t>
      </w:r>
      <w:r w:rsidRPr="00797746">
        <w:rPr>
          <w:rFonts w:ascii="Cambria" w:hAnsi="Cambria"/>
          <w:sz w:val="28"/>
          <w:szCs w:val="28"/>
          <w:u w:val="single"/>
        </w:rPr>
        <w:t>survey plans</w:t>
      </w:r>
      <w:r w:rsidRPr="00797746">
        <w:rPr>
          <w:rFonts w:ascii="Cambria" w:hAnsi="Cambria"/>
          <w:sz w:val="28"/>
          <w:szCs w:val="28"/>
        </w:rPr>
        <w:t xml:space="preserve"> from the MA Registry of Deeds</w:t>
      </w:r>
    </w:p>
    <w:p w14:paraId="712C2D43" w14:textId="6923D8F6" w:rsidR="00D04B4B" w:rsidRPr="00797746" w:rsidRDefault="00D04B4B" w:rsidP="00D04B4B">
      <w:pPr>
        <w:pStyle w:val="ListParagraph"/>
        <w:spacing w:line="240" w:lineRule="auto"/>
        <w:ind w:left="450"/>
        <w:rPr>
          <w:rFonts w:ascii="Cambria" w:hAnsi="Cambria"/>
          <w:sz w:val="32"/>
          <w:szCs w:val="32"/>
        </w:rPr>
      </w:pPr>
    </w:p>
    <w:p w14:paraId="514E5B86" w14:textId="77777777" w:rsidR="00797746" w:rsidRDefault="00797746" w:rsidP="00BC5D4B">
      <w:pPr>
        <w:rPr>
          <w:b/>
          <w:bCs/>
          <w:sz w:val="36"/>
          <w:szCs w:val="36"/>
          <w:u w:val="single"/>
        </w:rPr>
      </w:pPr>
    </w:p>
    <w:p w14:paraId="7504927F" w14:textId="3A533A8C" w:rsidR="00BC5D4B" w:rsidRPr="00BC5D4B" w:rsidRDefault="00BC5D4B" w:rsidP="00BC5D4B">
      <w:pPr>
        <w:rPr>
          <w:rFonts w:ascii="Cambria" w:hAnsi="Cambria"/>
          <w:sz w:val="32"/>
          <w:szCs w:val="32"/>
        </w:rPr>
      </w:pPr>
      <w:r w:rsidRPr="00BC5D4B">
        <w:rPr>
          <w:b/>
          <w:bCs/>
          <w:sz w:val="36"/>
          <w:szCs w:val="36"/>
          <w:u w:val="single"/>
        </w:rPr>
        <w:t>What we d</w:t>
      </w:r>
      <w:r>
        <w:rPr>
          <w:b/>
          <w:bCs/>
          <w:sz w:val="36"/>
          <w:szCs w:val="36"/>
          <w:u w:val="single"/>
        </w:rPr>
        <w:t>o</w:t>
      </w:r>
      <w:r w:rsidRPr="00D04B4B">
        <w:rPr>
          <w:b/>
          <w:bCs/>
          <w:sz w:val="36"/>
          <w:szCs w:val="36"/>
        </w:rPr>
        <w:br/>
      </w:r>
      <w:r w:rsidRPr="00534D69">
        <w:br/>
      </w:r>
      <w:r w:rsidRPr="00D04B4B">
        <w:rPr>
          <w:rFonts w:ascii="Cambria" w:hAnsi="Cambria"/>
          <w:sz w:val="32"/>
          <w:szCs w:val="32"/>
        </w:rPr>
        <w:t xml:space="preserve">It is important to note that while the Assessors are required </w:t>
      </w:r>
      <w:r w:rsidRPr="00D04B4B">
        <w:rPr>
          <w:rFonts w:ascii="Cambria" w:hAnsi="Cambria"/>
          <w:sz w:val="32"/>
          <w:szCs w:val="32"/>
        </w:rPr>
        <w:t>by state law to list and value all real and personal property on an annual basis, the Assessors do not control the laws that affect property taxes. Tax laws are enacted by the Massachusetts Legislature and codified in the Massachusetts General Laws.  The MA Department of Revenue publishes regulations and guidelines to assist the Assessors in carrying out their duties in accordance with these laws.</w:t>
      </w:r>
    </w:p>
    <w:p w14:paraId="2DA85E1E" w14:textId="53BEF774" w:rsidR="00A63378" w:rsidRDefault="00A63378" w:rsidP="00BC5D4B">
      <w:pPr>
        <w:jc w:val="center"/>
        <w:rPr>
          <w:rFonts w:ascii="Microsoft JhengHei" w:eastAsia="Microsoft JhengHei" w:hAnsi="Microsoft JhengHei"/>
          <w:b/>
          <w:bCs/>
          <w:sz w:val="44"/>
          <w:szCs w:val="44"/>
        </w:rPr>
      </w:pPr>
    </w:p>
    <w:p w14:paraId="6B287E29" w14:textId="78A580C3" w:rsidR="00797746" w:rsidRDefault="00797746" w:rsidP="00CF3ECC">
      <w:pPr>
        <w:rPr>
          <w:b/>
          <w:bCs/>
          <w:sz w:val="36"/>
          <w:szCs w:val="36"/>
          <w:u w:val="single"/>
        </w:rPr>
      </w:pPr>
    </w:p>
    <w:p w14:paraId="5C80D54C" w14:textId="77777777" w:rsidR="00CE1BBA" w:rsidRDefault="00CE1BBA" w:rsidP="00CF3ECC">
      <w:pPr>
        <w:rPr>
          <w:b/>
          <w:bCs/>
          <w:sz w:val="36"/>
          <w:szCs w:val="36"/>
          <w:u w:val="single"/>
        </w:rPr>
      </w:pPr>
    </w:p>
    <w:p w14:paraId="19DB19F2" w14:textId="77777777" w:rsidR="00CE1BBA" w:rsidRDefault="00CE1BBA" w:rsidP="00CF3ECC">
      <w:pPr>
        <w:rPr>
          <w:b/>
          <w:bCs/>
          <w:sz w:val="36"/>
          <w:szCs w:val="36"/>
          <w:u w:val="single"/>
        </w:rPr>
      </w:pPr>
    </w:p>
    <w:p w14:paraId="1B22CE9D" w14:textId="7D7C050F" w:rsidR="00CF3ECC" w:rsidRPr="00D04B4B" w:rsidRDefault="00CF3ECC" w:rsidP="00CF3ECC">
      <w:pPr>
        <w:rPr>
          <w:rFonts w:ascii="Cambria" w:hAnsi="Cambria"/>
          <w:sz w:val="36"/>
          <w:szCs w:val="36"/>
          <w:u w:val="single"/>
        </w:rPr>
      </w:pPr>
      <w:r w:rsidRPr="00D04B4B">
        <w:rPr>
          <w:b/>
          <w:bCs/>
          <w:sz w:val="36"/>
          <w:szCs w:val="36"/>
          <w:u w:val="single"/>
        </w:rPr>
        <w:t>Assessor responsibilities</w:t>
      </w:r>
    </w:p>
    <w:p w14:paraId="6F90AC6D" w14:textId="067F0B17" w:rsidR="00D04B4B" w:rsidRPr="00CE1BBA" w:rsidRDefault="00D04B4B" w:rsidP="00D04B4B">
      <w:pPr>
        <w:spacing w:before="240"/>
        <w:rPr>
          <w:rFonts w:ascii="Cambria" w:hAnsi="Cambria"/>
        </w:rPr>
      </w:pPr>
      <w:r w:rsidRPr="00CE1BBA">
        <w:rPr>
          <w:rFonts w:ascii="Cambria" w:hAnsi="Cambria"/>
        </w:rPr>
        <w:t>The Assessors are also responsible for:</w:t>
      </w:r>
    </w:p>
    <w:p w14:paraId="1C33CDFB" w14:textId="17CE3B0B"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calculating annual “new growth” increase to the community’s Levy Limit under Proposition 2 ½</w:t>
      </w:r>
    </w:p>
    <w:p w14:paraId="0A71DDBE" w14:textId="378436A4"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 xml:space="preserve">setting the annual “tax rate” for MA Department of Revenue approval in </w:t>
      </w:r>
      <w:r w:rsidRPr="00CE1BBA">
        <w:rPr>
          <w:rFonts w:ascii="Cambria" w:hAnsi="Cambria"/>
        </w:rPr>
        <w:lastRenderedPageBreak/>
        <w:t>conjunction with the Finance Committee and Selectboard</w:t>
      </w:r>
    </w:p>
    <w:p w14:paraId="4D548768" w14:textId="19D57ED6"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 xml:space="preserve">committing the annual real estate and personal property “tax warrants” to the Tax Collector to allow the mailing of tax bills </w:t>
      </w:r>
    </w:p>
    <w:p w14:paraId="3EDB8243" w14:textId="77777777"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 xml:space="preserve">administering motor vehicle excise taxes based on </w:t>
      </w:r>
      <w:r w:rsidRPr="00CE1BBA">
        <w:rPr>
          <w:rFonts w:ascii="Cambria" w:hAnsi="Cambria"/>
          <w:u w:val="single"/>
        </w:rPr>
        <w:t>vehicle registration</w:t>
      </w:r>
      <w:r w:rsidRPr="00CE1BBA">
        <w:rPr>
          <w:rFonts w:ascii="Cambria" w:hAnsi="Cambria"/>
        </w:rPr>
        <w:t xml:space="preserve"> information from the MA Registry of Motor Vehicles</w:t>
      </w:r>
    </w:p>
    <w:p w14:paraId="06212A3F" w14:textId="77777777"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 xml:space="preserve"> processing property tax and motor vehicle </w:t>
      </w:r>
      <w:r w:rsidRPr="00CE1BBA">
        <w:rPr>
          <w:rFonts w:ascii="Cambria" w:hAnsi="Cambria"/>
          <w:u w:val="single"/>
        </w:rPr>
        <w:t>abatement</w:t>
      </w:r>
      <w:r w:rsidRPr="00CE1BBA">
        <w:rPr>
          <w:rFonts w:ascii="Cambria" w:hAnsi="Cambria"/>
        </w:rPr>
        <w:t xml:space="preserve"> applications and statutory tax </w:t>
      </w:r>
      <w:r w:rsidRPr="00CE1BBA">
        <w:rPr>
          <w:rFonts w:ascii="Cambria" w:hAnsi="Cambria"/>
          <w:u w:val="single"/>
        </w:rPr>
        <w:t>exemption</w:t>
      </w:r>
      <w:r w:rsidRPr="00CE1BBA">
        <w:rPr>
          <w:rFonts w:ascii="Cambria" w:hAnsi="Cambria"/>
        </w:rPr>
        <w:t xml:space="preserve"> applications (seniors, veterans)</w:t>
      </w:r>
    </w:p>
    <w:p w14:paraId="415E6790" w14:textId="25469E2A"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administering the Chapter 61 programs which provide tax breaks for landowners willing to commit to keeping some or all of their forestry, agricultural, and/or open space and recreation land undeveloped for specified periods of time</w:t>
      </w:r>
    </w:p>
    <w:p w14:paraId="5DB7CD63" w14:textId="1C3C42B9" w:rsidR="00D04B4B" w:rsidRPr="00CE1BBA" w:rsidRDefault="00D04B4B" w:rsidP="00D04B4B">
      <w:pPr>
        <w:pStyle w:val="ListParagraph"/>
        <w:numPr>
          <w:ilvl w:val="0"/>
          <w:numId w:val="2"/>
        </w:numPr>
        <w:spacing w:line="278" w:lineRule="auto"/>
        <w:rPr>
          <w:rFonts w:ascii="Cambria" w:hAnsi="Cambria"/>
        </w:rPr>
      </w:pPr>
      <w:r w:rsidRPr="00CE1BBA">
        <w:rPr>
          <w:rFonts w:ascii="Cambria" w:hAnsi="Cambria"/>
        </w:rPr>
        <w:t>overseeing the Overlay account (used to fund anticipated property tax abatements and exemptions)</w:t>
      </w:r>
    </w:p>
    <w:p w14:paraId="7B386764" w14:textId="392458FE" w:rsidR="00D5075E" w:rsidRPr="00CE1BBA" w:rsidRDefault="00D5075E" w:rsidP="00D5075E">
      <w:pPr>
        <w:numPr>
          <w:ilvl w:val="0"/>
          <w:numId w:val="2"/>
        </w:numPr>
        <w:jc w:val="both"/>
        <w:rPr>
          <w:rFonts w:ascii="Cambria" w:hAnsi="Cambria"/>
        </w:rPr>
      </w:pPr>
      <w:r w:rsidRPr="00CE1BBA">
        <w:rPr>
          <w:rFonts w:ascii="Cambria" w:hAnsi="Cambria"/>
        </w:rPr>
        <w:t>Analyzes market trends to estimate the value of all assessable property.</w:t>
      </w:r>
    </w:p>
    <w:p w14:paraId="0C891032" w14:textId="77777777" w:rsidR="00CE1BBA" w:rsidRDefault="00CE1BBA" w:rsidP="00CE1BBA">
      <w:pPr>
        <w:pStyle w:val="ListParagraph"/>
        <w:ind w:firstLine="720"/>
        <w:rPr>
          <w:rFonts w:ascii="Microsoft JhengHei" w:eastAsia="Microsoft JhengHei" w:hAnsi="Microsoft JhengHei"/>
          <w:b/>
          <w:bCs/>
          <w:sz w:val="44"/>
          <w:szCs w:val="44"/>
        </w:rPr>
      </w:pPr>
    </w:p>
    <w:p w14:paraId="693761DC" w14:textId="77777777" w:rsidR="00CE1BBA" w:rsidRDefault="00CE1BBA" w:rsidP="00CE1BBA">
      <w:pPr>
        <w:pStyle w:val="ListParagraph"/>
        <w:ind w:firstLine="720"/>
        <w:rPr>
          <w:rFonts w:ascii="Microsoft JhengHei" w:eastAsia="Microsoft JhengHei" w:hAnsi="Microsoft JhengHei"/>
          <w:b/>
          <w:bCs/>
          <w:sz w:val="44"/>
          <w:szCs w:val="44"/>
        </w:rPr>
      </w:pPr>
    </w:p>
    <w:p w14:paraId="29C15FE1" w14:textId="77777777" w:rsidR="00CE1BBA" w:rsidRDefault="00CE1BBA" w:rsidP="00CE1BBA">
      <w:pPr>
        <w:pStyle w:val="ListParagraph"/>
        <w:ind w:firstLine="720"/>
        <w:rPr>
          <w:rFonts w:ascii="Microsoft JhengHei" w:eastAsia="Microsoft JhengHei" w:hAnsi="Microsoft JhengHei"/>
          <w:b/>
          <w:bCs/>
          <w:sz w:val="44"/>
          <w:szCs w:val="44"/>
        </w:rPr>
      </w:pPr>
    </w:p>
    <w:p w14:paraId="4CA4FBD3" w14:textId="77777777" w:rsidR="00CE1BBA" w:rsidRDefault="00CE1BBA" w:rsidP="00CE1BBA">
      <w:pPr>
        <w:pStyle w:val="ListParagraph"/>
        <w:ind w:firstLine="720"/>
        <w:rPr>
          <w:rFonts w:ascii="Microsoft JhengHei" w:eastAsia="Microsoft JhengHei" w:hAnsi="Microsoft JhengHei"/>
          <w:b/>
          <w:bCs/>
          <w:sz w:val="44"/>
          <w:szCs w:val="44"/>
        </w:rPr>
      </w:pPr>
    </w:p>
    <w:p w14:paraId="52F269D3" w14:textId="77777777" w:rsidR="00CE1BBA" w:rsidRDefault="00CE1BBA" w:rsidP="00CE1BBA">
      <w:pPr>
        <w:pStyle w:val="ListParagraph"/>
        <w:ind w:firstLine="720"/>
        <w:rPr>
          <w:rFonts w:ascii="Microsoft JhengHei" w:eastAsia="Microsoft JhengHei" w:hAnsi="Microsoft JhengHei"/>
          <w:b/>
          <w:bCs/>
          <w:sz w:val="44"/>
          <w:szCs w:val="44"/>
        </w:rPr>
      </w:pPr>
    </w:p>
    <w:p w14:paraId="05801EF6" w14:textId="77777777" w:rsidR="00CE1BBA" w:rsidRDefault="00CE1BBA" w:rsidP="00CE1BBA">
      <w:pPr>
        <w:pStyle w:val="ListParagraph"/>
        <w:ind w:firstLine="720"/>
        <w:rPr>
          <w:rFonts w:ascii="Microsoft JhengHei" w:eastAsia="Microsoft JhengHei" w:hAnsi="Microsoft JhengHei"/>
          <w:b/>
          <w:bCs/>
          <w:sz w:val="44"/>
          <w:szCs w:val="44"/>
        </w:rPr>
      </w:pPr>
    </w:p>
    <w:p w14:paraId="24262D4B" w14:textId="77777777" w:rsidR="00CE1BBA" w:rsidRDefault="00CE1BBA" w:rsidP="00CE1BBA">
      <w:pPr>
        <w:pStyle w:val="ListParagraph"/>
        <w:ind w:firstLine="720"/>
        <w:rPr>
          <w:rFonts w:ascii="Microsoft JhengHei" w:eastAsia="Microsoft JhengHei" w:hAnsi="Microsoft JhengHei"/>
          <w:b/>
          <w:bCs/>
          <w:sz w:val="44"/>
          <w:szCs w:val="44"/>
        </w:rPr>
      </w:pPr>
    </w:p>
    <w:p w14:paraId="28B7E153" w14:textId="77777777" w:rsidR="00CE1BBA" w:rsidRDefault="00CE1BBA" w:rsidP="00CE1BBA">
      <w:pPr>
        <w:pStyle w:val="ListParagraph"/>
        <w:ind w:firstLine="720"/>
        <w:rPr>
          <w:rFonts w:ascii="Microsoft JhengHei" w:eastAsia="Microsoft JhengHei" w:hAnsi="Microsoft JhengHei"/>
          <w:b/>
          <w:bCs/>
          <w:sz w:val="44"/>
          <w:szCs w:val="44"/>
        </w:rPr>
      </w:pPr>
    </w:p>
    <w:p w14:paraId="48C6FD36" w14:textId="77777777" w:rsidR="00CE1BBA" w:rsidRDefault="00CE1BBA" w:rsidP="00CE1BBA">
      <w:pPr>
        <w:pStyle w:val="ListParagraph"/>
        <w:ind w:firstLine="720"/>
        <w:rPr>
          <w:rFonts w:ascii="Microsoft JhengHei" w:eastAsia="Microsoft JhengHei" w:hAnsi="Microsoft JhengHei"/>
          <w:b/>
          <w:bCs/>
          <w:sz w:val="44"/>
          <w:szCs w:val="44"/>
        </w:rPr>
      </w:pPr>
    </w:p>
    <w:p w14:paraId="5B242797" w14:textId="77777777" w:rsidR="00CE1BBA" w:rsidRDefault="00CE1BBA" w:rsidP="00CE1BBA">
      <w:pPr>
        <w:pStyle w:val="ListParagraph"/>
        <w:ind w:firstLine="720"/>
        <w:rPr>
          <w:rFonts w:ascii="Microsoft JhengHei" w:eastAsia="Microsoft JhengHei" w:hAnsi="Microsoft JhengHei"/>
          <w:b/>
          <w:bCs/>
          <w:sz w:val="44"/>
          <w:szCs w:val="44"/>
        </w:rPr>
      </w:pPr>
    </w:p>
    <w:p w14:paraId="18B57CE7" w14:textId="77777777" w:rsidR="00CE1BBA" w:rsidRDefault="00CE1BBA" w:rsidP="00CE1BBA">
      <w:pPr>
        <w:pStyle w:val="ListParagraph"/>
        <w:ind w:firstLine="720"/>
        <w:rPr>
          <w:rFonts w:ascii="Microsoft JhengHei" w:eastAsia="Microsoft JhengHei" w:hAnsi="Microsoft JhengHei"/>
          <w:b/>
          <w:bCs/>
          <w:sz w:val="44"/>
          <w:szCs w:val="44"/>
        </w:rPr>
      </w:pPr>
    </w:p>
    <w:p w14:paraId="68E6B727" w14:textId="77777777" w:rsidR="00CE1BBA" w:rsidRDefault="00CE1BBA" w:rsidP="00CE1BBA">
      <w:pPr>
        <w:pStyle w:val="ListParagraph"/>
        <w:ind w:firstLine="720"/>
        <w:rPr>
          <w:rFonts w:ascii="Microsoft JhengHei" w:eastAsia="Microsoft JhengHei" w:hAnsi="Microsoft JhengHei"/>
          <w:b/>
          <w:bCs/>
          <w:sz w:val="44"/>
          <w:szCs w:val="44"/>
        </w:rPr>
      </w:pPr>
    </w:p>
    <w:p w14:paraId="774D004D" w14:textId="77777777" w:rsidR="00CE1BBA" w:rsidRDefault="00CE1BBA" w:rsidP="00CE1BBA">
      <w:pPr>
        <w:pStyle w:val="ListParagraph"/>
        <w:ind w:firstLine="720"/>
        <w:rPr>
          <w:rFonts w:ascii="Microsoft JhengHei" w:eastAsia="Microsoft JhengHei" w:hAnsi="Microsoft JhengHei"/>
          <w:b/>
          <w:bCs/>
          <w:sz w:val="44"/>
          <w:szCs w:val="44"/>
        </w:rPr>
      </w:pPr>
    </w:p>
    <w:p w14:paraId="1D3C2318" w14:textId="77777777" w:rsidR="00CE1BBA" w:rsidRDefault="00CE1BBA" w:rsidP="00CE1BBA">
      <w:pPr>
        <w:pStyle w:val="ListParagraph"/>
        <w:ind w:firstLine="720"/>
        <w:rPr>
          <w:rFonts w:ascii="Microsoft JhengHei" w:eastAsia="Microsoft JhengHei" w:hAnsi="Microsoft JhengHei"/>
          <w:b/>
          <w:bCs/>
          <w:sz w:val="44"/>
          <w:szCs w:val="44"/>
        </w:rPr>
      </w:pPr>
    </w:p>
    <w:p w14:paraId="44A1752B" w14:textId="601192DD" w:rsidR="00A63378" w:rsidRPr="00A63378" w:rsidRDefault="00A63378" w:rsidP="00CE1BBA">
      <w:pPr>
        <w:pStyle w:val="ListParagraph"/>
        <w:ind w:firstLine="720"/>
        <w:rPr>
          <w:rFonts w:ascii="Microsoft JhengHei" w:eastAsia="Microsoft JhengHei" w:hAnsi="Microsoft JhengHei"/>
          <w:b/>
          <w:bCs/>
          <w:sz w:val="44"/>
          <w:szCs w:val="44"/>
        </w:rPr>
      </w:pPr>
      <w:r w:rsidRPr="00A63378">
        <w:rPr>
          <w:rFonts w:ascii="Microsoft JhengHei" w:eastAsia="Microsoft JhengHei" w:hAnsi="Microsoft JhengHei"/>
          <w:b/>
          <w:bCs/>
          <w:sz w:val="44"/>
          <w:szCs w:val="44"/>
        </w:rPr>
        <w:t>ROWE</w:t>
      </w:r>
    </w:p>
    <w:p w14:paraId="0118C32C" w14:textId="40611899" w:rsidR="00A63378" w:rsidRDefault="00A63378" w:rsidP="00A63378">
      <w:pPr>
        <w:ind w:left="360"/>
        <w:jc w:val="center"/>
        <w:rPr>
          <w:rFonts w:ascii="Microsoft JhengHei" w:eastAsia="Microsoft JhengHei" w:hAnsi="Microsoft JhengHei"/>
          <w:b/>
          <w:bCs/>
          <w:sz w:val="36"/>
          <w:szCs w:val="36"/>
        </w:rPr>
      </w:pPr>
      <w:r w:rsidRPr="00A63378">
        <w:rPr>
          <w:rFonts w:ascii="Microsoft JhengHei" w:eastAsia="Microsoft JhengHei" w:hAnsi="Microsoft JhengHei"/>
          <w:b/>
          <w:bCs/>
          <w:sz w:val="36"/>
          <w:szCs w:val="36"/>
        </w:rPr>
        <w:t>Board of Assessors</w:t>
      </w:r>
    </w:p>
    <w:p w14:paraId="30B2EEC5" w14:textId="36749762" w:rsidR="00A63378" w:rsidRPr="00A63378" w:rsidRDefault="00CE1BBA" w:rsidP="00A63378">
      <w:pPr>
        <w:ind w:left="360"/>
        <w:jc w:val="center"/>
        <w:rPr>
          <w:rFonts w:ascii="Microsoft JhengHei" w:eastAsia="Microsoft JhengHei" w:hAnsi="Microsoft JhengHei"/>
          <w:b/>
          <w:bCs/>
          <w:sz w:val="36"/>
          <w:szCs w:val="36"/>
        </w:rPr>
      </w:pPr>
      <w:r w:rsidRPr="00746455">
        <w:rPr>
          <w:rFonts w:ascii="Cambria" w:hAnsi="Cambria"/>
          <w:sz w:val="24"/>
          <w:szCs w:val="24"/>
        </w:rPr>
        <w:drawing>
          <wp:anchor distT="0" distB="0" distL="114300" distR="114300" simplePos="0" relativeHeight="251669504" behindDoc="1" locked="0" layoutInCell="1" allowOverlap="1" wp14:anchorId="37148F12" wp14:editId="698DDFC7">
            <wp:simplePos x="0" y="0"/>
            <wp:positionH relativeFrom="column">
              <wp:posOffset>535305</wp:posOffset>
            </wp:positionH>
            <wp:positionV relativeFrom="paragraph">
              <wp:posOffset>323850</wp:posOffset>
            </wp:positionV>
            <wp:extent cx="2066925" cy="2059305"/>
            <wp:effectExtent l="0" t="0" r="9525" b="0"/>
            <wp:wrapTight wrapText="bothSides">
              <wp:wrapPolygon edited="0">
                <wp:start x="0" y="0"/>
                <wp:lineTo x="0" y="21380"/>
                <wp:lineTo x="21500" y="21380"/>
                <wp:lineTo x="21500" y="0"/>
                <wp:lineTo x="0" y="0"/>
              </wp:wrapPolygon>
            </wp:wrapTight>
            <wp:docPr id="1871957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76B38" w14:textId="140F9FDD" w:rsidR="00A63378" w:rsidRDefault="00A63378" w:rsidP="00A63378">
      <w:pPr>
        <w:ind w:left="360"/>
        <w:rPr>
          <w:rFonts w:ascii="Microsoft JhengHei" w:eastAsia="Microsoft JhengHei" w:hAnsi="Microsoft JhengHei"/>
          <w:b/>
          <w:bCs/>
          <w:sz w:val="44"/>
          <w:szCs w:val="44"/>
        </w:rPr>
      </w:pPr>
    </w:p>
    <w:p w14:paraId="39B43B37" w14:textId="77777777" w:rsidR="00A63378" w:rsidRDefault="00A63378" w:rsidP="00A63378">
      <w:pPr>
        <w:ind w:left="360"/>
        <w:rPr>
          <w:rFonts w:ascii="Microsoft JhengHei" w:eastAsia="Microsoft JhengHei" w:hAnsi="Microsoft JhengHei"/>
          <w:b/>
          <w:bCs/>
          <w:sz w:val="44"/>
          <w:szCs w:val="44"/>
        </w:rPr>
      </w:pPr>
    </w:p>
    <w:p w14:paraId="754883DB" w14:textId="77777777" w:rsidR="00A63378" w:rsidRPr="00A63378" w:rsidRDefault="00A63378" w:rsidP="00A63378">
      <w:pPr>
        <w:ind w:left="360"/>
        <w:rPr>
          <w:rFonts w:ascii="Microsoft JhengHei" w:eastAsia="Microsoft JhengHei" w:hAnsi="Microsoft JhengHei"/>
          <w:b/>
          <w:bCs/>
          <w:sz w:val="44"/>
          <w:szCs w:val="44"/>
        </w:rPr>
      </w:pPr>
    </w:p>
    <w:p w14:paraId="5131E12B" w14:textId="77777777" w:rsidR="00A63378" w:rsidRDefault="00A63378" w:rsidP="00A63378">
      <w:pPr>
        <w:spacing w:after="0" w:line="240" w:lineRule="auto"/>
        <w:ind w:left="360"/>
        <w:jc w:val="center"/>
        <w:rPr>
          <w:rFonts w:ascii="Cambria" w:hAnsi="Cambria"/>
          <w:b/>
          <w:bCs/>
          <w:sz w:val="32"/>
          <w:szCs w:val="32"/>
        </w:rPr>
      </w:pPr>
    </w:p>
    <w:p w14:paraId="3F477706" w14:textId="77777777" w:rsidR="00A63378" w:rsidRDefault="00A63378" w:rsidP="00A63378">
      <w:pPr>
        <w:spacing w:after="0" w:line="240" w:lineRule="auto"/>
        <w:ind w:left="360"/>
        <w:jc w:val="center"/>
        <w:rPr>
          <w:rFonts w:ascii="Cambria" w:hAnsi="Cambria"/>
          <w:b/>
          <w:bCs/>
          <w:sz w:val="32"/>
          <w:szCs w:val="32"/>
        </w:rPr>
      </w:pPr>
    </w:p>
    <w:p w14:paraId="2A9196AE" w14:textId="77777777" w:rsidR="00A63378" w:rsidRDefault="00A63378" w:rsidP="00A63378">
      <w:pPr>
        <w:spacing w:after="0" w:line="240" w:lineRule="auto"/>
        <w:ind w:left="360"/>
        <w:jc w:val="center"/>
        <w:rPr>
          <w:rFonts w:ascii="Cambria" w:hAnsi="Cambria"/>
          <w:b/>
          <w:bCs/>
          <w:sz w:val="32"/>
          <w:szCs w:val="32"/>
        </w:rPr>
      </w:pPr>
    </w:p>
    <w:p w14:paraId="64DBFBED" w14:textId="01980013" w:rsidR="00A63378" w:rsidRPr="00A63378" w:rsidRDefault="00A63378" w:rsidP="00A63378">
      <w:pPr>
        <w:spacing w:after="0" w:line="240" w:lineRule="auto"/>
        <w:ind w:left="360"/>
        <w:jc w:val="center"/>
        <w:rPr>
          <w:rFonts w:ascii="Cambria" w:hAnsi="Cambria"/>
          <w:b/>
          <w:bCs/>
          <w:sz w:val="32"/>
          <w:szCs w:val="32"/>
        </w:rPr>
      </w:pPr>
      <w:r w:rsidRPr="00A63378">
        <w:rPr>
          <w:rFonts w:ascii="Cambria" w:hAnsi="Cambria"/>
          <w:b/>
          <w:bCs/>
          <w:sz w:val="32"/>
          <w:szCs w:val="32"/>
        </w:rPr>
        <w:t>321 Zoar Road</w:t>
      </w:r>
    </w:p>
    <w:p w14:paraId="665C8E5C" w14:textId="77777777" w:rsidR="00A63378" w:rsidRPr="00A63378" w:rsidRDefault="00A63378" w:rsidP="00A63378">
      <w:pPr>
        <w:spacing w:after="0" w:line="240" w:lineRule="auto"/>
        <w:ind w:left="360"/>
        <w:jc w:val="center"/>
        <w:rPr>
          <w:rFonts w:ascii="Cambria" w:hAnsi="Cambria"/>
          <w:b/>
          <w:bCs/>
          <w:sz w:val="32"/>
          <w:szCs w:val="32"/>
        </w:rPr>
      </w:pPr>
      <w:r w:rsidRPr="00A63378">
        <w:rPr>
          <w:rFonts w:ascii="Cambria" w:hAnsi="Cambria"/>
          <w:b/>
          <w:bCs/>
          <w:sz w:val="32"/>
          <w:szCs w:val="32"/>
        </w:rPr>
        <w:t>Rowe, MA  01367</w:t>
      </w:r>
    </w:p>
    <w:p w14:paraId="07CE4268" w14:textId="77777777" w:rsidR="00A63378" w:rsidRPr="00A63378" w:rsidRDefault="00A63378" w:rsidP="00A63378">
      <w:pPr>
        <w:spacing w:after="0" w:line="240" w:lineRule="auto"/>
        <w:ind w:left="360"/>
        <w:jc w:val="center"/>
        <w:rPr>
          <w:rFonts w:ascii="Cambria" w:hAnsi="Cambria"/>
          <w:b/>
          <w:bCs/>
          <w:sz w:val="32"/>
          <w:szCs w:val="32"/>
        </w:rPr>
      </w:pPr>
      <w:r w:rsidRPr="00A63378">
        <w:rPr>
          <w:rFonts w:ascii="Cambria" w:hAnsi="Cambria"/>
          <w:b/>
          <w:bCs/>
          <w:sz w:val="32"/>
          <w:szCs w:val="32"/>
        </w:rPr>
        <w:t>413-339-5520 x104</w:t>
      </w:r>
    </w:p>
    <w:p w14:paraId="0ED6413D" w14:textId="77777777" w:rsidR="00A63378" w:rsidRDefault="00A63378" w:rsidP="00A63378">
      <w:pPr>
        <w:ind w:left="360"/>
        <w:jc w:val="center"/>
        <w:rPr>
          <w:rFonts w:ascii="Cambria" w:hAnsi="Cambria"/>
          <w:b/>
          <w:bCs/>
          <w:sz w:val="32"/>
          <w:szCs w:val="32"/>
        </w:rPr>
      </w:pPr>
    </w:p>
    <w:p w14:paraId="34A08AA9" w14:textId="77777777" w:rsidR="00A63378" w:rsidRPr="00A63378" w:rsidRDefault="00A63378" w:rsidP="00A63378">
      <w:pPr>
        <w:ind w:left="360"/>
        <w:jc w:val="center"/>
        <w:rPr>
          <w:rFonts w:ascii="Cambria" w:hAnsi="Cambria"/>
          <w:b/>
          <w:bCs/>
          <w:sz w:val="32"/>
          <w:szCs w:val="32"/>
        </w:rPr>
      </w:pPr>
    </w:p>
    <w:p w14:paraId="789A0E9E" w14:textId="2E4E638F" w:rsidR="00A63378" w:rsidRPr="00A63378" w:rsidRDefault="00A63378" w:rsidP="00A63378">
      <w:pPr>
        <w:ind w:left="360"/>
        <w:jc w:val="center"/>
        <w:rPr>
          <w:b/>
          <w:bCs/>
          <w:sz w:val="36"/>
          <w:szCs w:val="36"/>
          <w:u w:val="single"/>
        </w:rPr>
      </w:pPr>
      <w:r w:rsidRPr="00A63378">
        <w:rPr>
          <w:rFonts w:ascii="Cambria" w:hAnsi="Cambria"/>
          <w:sz w:val="32"/>
          <w:szCs w:val="32"/>
        </w:rPr>
        <w:t>assessor@rowe-ma.gov</w:t>
      </w:r>
    </w:p>
    <w:p w14:paraId="5BFD628C" w14:textId="77777777" w:rsidR="00D04B4B" w:rsidRDefault="00D04B4B" w:rsidP="00D04B4B">
      <w:pPr>
        <w:rPr>
          <w:b/>
          <w:bCs/>
          <w:sz w:val="28"/>
          <w:szCs w:val="28"/>
        </w:rPr>
      </w:pPr>
    </w:p>
    <w:sectPr w:rsidR="00D04B4B" w:rsidSect="00797746">
      <w:pgSz w:w="15840" w:h="12240" w:orient="landscape"/>
      <w:pgMar w:top="576" w:right="576" w:bottom="576" w:left="57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79F"/>
    <w:multiLevelType w:val="hybridMultilevel"/>
    <w:tmpl w:val="544670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01847"/>
    <w:multiLevelType w:val="hybridMultilevel"/>
    <w:tmpl w:val="3CBC7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971E42"/>
    <w:multiLevelType w:val="multilevel"/>
    <w:tmpl w:val="097C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D5E82"/>
    <w:multiLevelType w:val="hybridMultilevel"/>
    <w:tmpl w:val="C1349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794825">
    <w:abstractNumId w:val="3"/>
  </w:num>
  <w:num w:numId="2" w16cid:durableId="1916280115">
    <w:abstractNumId w:val="2"/>
  </w:num>
  <w:num w:numId="3" w16cid:durableId="599488753">
    <w:abstractNumId w:val="0"/>
  </w:num>
  <w:num w:numId="4" w16cid:durableId="198076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6C"/>
    <w:rsid w:val="00066EF2"/>
    <w:rsid w:val="002677CB"/>
    <w:rsid w:val="00287B78"/>
    <w:rsid w:val="002D2DB4"/>
    <w:rsid w:val="0031289D"/>
    <w:rsid w:val="003356AF"/>
    <w:rsid w:val="00495A69"/>
    <w:rsid w:val="00534D69"/>
    <w:rsid w:val="00746455"/>
    <w:rsid w:val="00797746"/>
    <w:rsid w:val="00932D86"/>
    <w:rsid w:val="0098606C"/>
    <w:rsid w:val="00A63378"/>
    <w:rsid w:val="00B84A9E"/>
    <w:rsid w:val="00BC5D4B"/>
    <w:rsid w:val="00CE1BBA"/>
    <w:rsid w:val="00CF3ECC"/>
    <w:rsid w:val="00D04B4B"/>
    <w:rsid w:val="00D33DEA"/>
    <w:rsid w:val="00D5075E"/>
    <w:rsid w:val="00E10E2C"/>
    <w:rsid w:val="00E44FCC"/>
    <w:rsid w:val="00E47471"/>
    <w:rsid w:val="00F7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B3FD"/>
  <w15:chartTrackingRefBased/>
  <w15:docId w15:val="{4E166D36-8423-4EF2-ABCD-B9DA1D38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86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6C"/>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98606C"/>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98606C"/>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98606C"/>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98606C"/>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98606C"/>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98606C"/>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98606C"/>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98606C"/>
    <w:rPr>
      <w:rFonts w:eastAsiaTheme="majorEastAsia" w:cstheme="majorBidi"/>
      <w:noProof/>
      <w:color w:val="272727" w:themeColor="text1" w:themeTint="D8"/>
    </w:rPr>
  </w:style>
  <w:style w:type="paragraph" w:styleId="Title">
    <w:name w:val="Title"/>
    <w:basedOn w:val="Normal"/>
    <w:next w:val="Normal"/>
    <w:link w:val="TitleChar"/>
    <w:uiPriority w:val="10"/>
    <w:qFormat/>
    <w:rsid w:val="0098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06C"/>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986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06C"/>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98606C"/>
    <w:pPr>
      <w:spacing w:before="160"/>
      <w:jc w:val="center"/>
    </w:pPr>
    <w:rPr>
      <w:i/>
      <w:iCs/>
      <w:color w:val="404040" w:themeColor="text1" w:themeTint="BF"/>
    </w:rPr>
  </w:style>
  <w:style w:type="character" w:customStyle="1" w:styleId="QuoteChar">
    <w:name w:val="Quote Char"/>
    <w:basedOn w:val="DefaultParagraphFont"/>
    <w:link w:val="Quote"/>
    <w:uiPriority w:val="29"/>
    <w:rsid w:val="0098606C"/>
    <w:rPr>
      <w:i/>
      <w:iCs/>
      <w:noProof/>
      <w:color w:val="404040" w:themeColor="text1" w:themeTint="BF"/>
    </w:rPr>
  </w:style>
  <w:style w:type="paragraph" w:styleId="ListParagraph">
    <w:name w:val="List Paragraph"/>
    <w:basedOn w:val="Normal"/>
    <w:uiPriority w:val="34"/>
    <w:qFormat/>
    <w:rsid w:val="0098606C"/>
    <w:pPr>
      <w:ind w:left="720"/>
      <w:contextualSpacing/>
    </w:pPr>
  </w:style>
  <w:style w:type="character" w:styleId="IntenseEmphasis">
    <w:name w:val="Intense Emphasis"/>
    <w:basedOn w:val="DefaultParagraphFont"/>
    <w:uiPriority w:val="21"/>
    <w:qFormat/>
    <w:rsid w:val="0098606C"/>
    <w:rPr>
      <w:i/>
      <w:iCs/>
      <w:color w:val="0F4761" w:themeColor="accent1" w:themeShade="BF"/>
    </w:rPr>
  </w:style>
  <w:style w:type="paragraph" w:styleId="IntenseQuote">
    <w:name w:val="Intense Quote"/>
    <w:basedOn w:val="Normal"/>
    <w:next w:val="Normal"/>
    <w:link w:val="IntenseQuoteChar"/>
    <w:uiPriority w:val="30"/>
    <w:qFormat/>
    <w:rsid w:val="00986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06C"/>
    <w:rPr>
      <w:i/>
      <w:iCs/>
      <w:noProof/>
      <w:color w:val="0F4761" w:themeColor="accent1" w:themeShade="BF"/>
    </w:rPr>
  </w:style>
  <w:style w:type="character" w:styleId="IntenseReference">
    <w:name w:val="Intense Reference"/>
    <w:basedOn w:val="DefaultParagraphFont"/>
    <w:uiPriority w:val="32"/>
    <w:qFormat/>
    <w:rsid w:val="0098606C"/>
    <w:rPr>
      <w:b/>
      <w:bCs/>
      <w:smallCaps/>
      <w:color w:val="0F4761" w:themeColor="accent1" w:themeShade="BF"/>
      <w:spacing w:val="5"/>
    </w:rPr>
  </w:style>
  <w:style w:type="character" w:styleId="Hyperlink">
    <w:name w:val="Hyperlink"/>
    <w:basedOn w:val="DefaultParagraphFont"/>
    <w:uiPriority w:val="99"/>
    <w:unhideWhenUsed/>
    <w:rsid w:val="003356AF"/>
    <w:rPr>
      <w:color w:val="467886" w:themeColor="hyperlink"/>
      <w:u w:val="single"/>
    </w:rPr>
  </w:style>
  <w:style w:type="character" w:styleId="UnresolvedMention">
    <w:name w:val="Unresolved Mention"/>
    <w:basedOn w:val="DefaultParagraphFont"/>
    <w:uiPriority w:val="99"/>
    <w:semiHidden/>
    <w:unhideWhenUsed/>
    <w:rsid w:val="0033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0597">
      <w:bodyDiv w:val="1"/>
      <w:marLeft w:val="0"/>
      <w:marRight w:val="0"/>
      <w:marTop w:val="0"/>
      <w:marBottom w:val="0"/>
      <w:divBdr>
        <w:top w:val="none" w:sz="0" w:space="0" w:color="auto"/>
        <w:left w:val="none" w:sz="0" w:space="0" w:color="auto"/>
        <w:bottom w:val="none" w:sz="0" w:space="0" w:color="auto"/>
        <w:right w:val="none" w:sz="0" w:space="0" w:color="auto"/>
      </w:divBdr>
    </w:div>
    <w:div w:id="155848293">
      <w:bodyDiv w:val="1"/>
      <w:marLeft w:val="0"/>
      <w:marRight w:val="0"/>
      <w:marTop w:val="0"/>
      <w:marBottom w:val="0"/>
      <w:divBdr>
        <w:top w:val="none" w:sz="0" w:space="0" w:color="auto"/>
        <w:left w:val="none" w:sz="0" w:space="0" w:color="auto"/>
        <w:bottom w:val="none" w:sz="0" w:space="0" w:color="auto"/>
        <w:right w:val="none" w:sz="0" w:space="0" w:color="auto"/>
      </w:divBdr>
    </w:div>
    <w:div w:id="1124231054">
      <w:bodyDiv w:val="1"/>
      <w:marLeft w:val="0"/>
      <w:marRight w:val="0"/>
      <w:marTop w:val="0"/>
      <w:marBottom w:val="0"/>
      <w:divBdr>
        <w:top w:val="none" w:sz="0" w:space="0" w:color="auto"/>
        <w:left w:val="none" w:sz="0" w:space="0" w:color="auto"/>
        <w:bottom w:val="none" w:sz="0" w:space="0" w:color="auto"/>
        <w:right w:val="none" w:sz="0" w:space="0" w:color="auto"/>
      </w:divBdr>
    </w:div>
    <w:div w:id="1230648341">
      <w:bodyDiv w:val="1"/>
      <w:marLeft w:val="0"/>
      <w:marRight w:val="0"/>
      <w:marTop w:val="0"/>
      <w:marBottom w:val="0"/>
      <w:divBdr>
        <w:top w:val="none" w:sz="0" w:space="0" w:color="auto"/>
        <w:left w:val="none" w:sz="0" w:space="0" w:color="auto"/>
        <w:bottom w:val="none" w:sz="0" w:space="0" w:color="auto"/>
        <w:right w:val="none" w:sz="0" w:space="0" w:color="auto"/>
      </w:divBdr>
    </w:div>
    <w:div w:id="1541822473">
      <w:bodyDiv w:val="1"/>
      <w:marLeft w:val="0"/>
      <w:marRight w:val="0"/>
      <w:marTop w:val="0"/>
      <w:marBottom w:val="0"/>
      <w:divBdr>
        <w:top w:val="none" w:sz="0" w:space="0" w:color="auto"/>
        <w:left w:val="none" w:sz="0" w:space="0" w:color="auto"/>
        <w:bottom w:val="none" w:sz="0" w:space="0" w:color="auto"/>
        <w:right w:val="none" w:sz="0" w:space="0" w:color="auto"/>
      </w:divBdr>
    </w:div>
    <w:div w:id="18799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sessor@rowe-m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4409-7B9F-4230-A22C-27EF1BAC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of Health</dc:creator>
  <cp:keywords/>
  <dc:description/>
  <cp:lastModifiedBy>Board of Assessors</cp:lastModifiedBy>
  <cp:revision>11</cp:revision>
  <cp:lastPrinted>2025-04-10T15:24:00Z</cp:lastPrinted>
  <dcterms:created xsi:type="dcterms:W3CDTF">2025-04-02T15:27:00Z</dcterms:created>
  <dcterms:modified xsi:type="dcterms:W3CDTF">2025-04-10T15:38:00Z</dcterms:modified>
</cp:coreProperties>
</file>